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Pr="006B1675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F4F53">
        <w:rPr>
          <w:rFonts w:ascii="Arial Narrow" w:hAnsi="Arial Narrow"/>
          <w:sz w:val="22"/>
          <w:szCs w:val="22"/>
          <w:lang w:val="es-MX"/>
        </w:rPr>
        <w:t>11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de </w:t>
      </w:r>
      <w:r w:rsidR="004F4F53">
        <w:rPr>
          <w:rFonts w:ascii="Arial Narrow" w:hAnsi="Arial Narrow"/>
          <w:sz w:val="22"/>
          <w:szCs w:val="22"/>
          <w:lang w:val="es-MX"/>
        </w:rPr>
        <w:t>agosto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</w:t>
      </w:r>
      <w:r w:rsidR="00937EF8" w:rsidRPr="006B1675">
        <w:rPr>
          <w:rFonts w:ascii="Arial Narrow" w:hAnsi="Arial Narrow"/>
          <w:sz w:val="22"/>
          <w:szCs w:val="22"/>
          <w:lang w:val="es-MX"/>
        </w:rPr>
        <w:t xml:space="preserve"> del 202</w:t>
      </w:r>
      <w:r w:rsidR="004C2B7A">
        <w:rPr>
          <w:rFonts w:ascii="Arial Narrow" w:hAnsi="Arial Narrow"/>
          <w:sz w:val="22"/>
          <w:szCs w:val="22"/>
          <w:lang w:val="es-MX"/>
        </w:rPr>
        <w:t>1</w:t>
      </w:r>
    </w:p>
    <w:p w:rsidR="003243BC" w:rsidRPr="0055308D" w:rsidRDefault="003243BC" w:rsidP="003243BC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3243BC" w:rsidRPr="0055308D" w:rsidRDefault="003243BC" w:rsidP="003243BC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3243BC" w:rsidRPr="006B1675" w:rsidRDefault="003243BC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55308D" w:rsidRDefault="003243BC" w:rsidP="003243BC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404BF3" w:rsidRPr="006B167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F4F53">
        <w:rPr>
          <w:rFonts w:ascii="Arial Narrow" w:hAnsi="Arial Narrow"/>
          <w:sz w:val="22"/>
          <w:szCs w:val="22"/>
          <w:lang w:val="es-MX"/>
        </w:rPr>
        <w:t>11</w:t>
      </w:r>
      <w:r w:rsidR="004C2B7A">
        <w:rPr>
          <w:rFonts w:ascii="Arial Narrow" w:hAnsi="Arial Narrow"/>
          <w:sz w:val="22"/>
          <w:szCs w:val="22"/>
          <w:lang w:val="es-MX"/>
        </w:rPr>
        <w:t xml:space="preserve"> de </w:t>
      </w:r>
      <w:r w:rsidR="004F4F53">
        <w:rPr>
          <w:rFonts w:ascii="Arial Narrow" w:hAnsi="Arial Narrow"/>
          <w:sz w:val="22"/>
          <w:szCs w:val="22"/>
          <w:lang w:val="es-MX"/>
        </w:rPr>
        <w:t>agosto</w:t>
      </w:r>
      <w:r w:rsidR="004C2B7A">
        <w:rPr>
          <w:rFonts w:ascii="Arial Narrow" w:hAnsi="Arial Narrow"/>
          <w:sz w:val="22"/>
          <w:szCs w:val="22"/>
          <w:lang w:val="es-MX"/>
        </w:rPr>
        <w:t xml:space="preserve"> </w:t>
      </w:r>
      <w:r w:rsidR="004C2B7A" w:rsidRP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6B1675" w:rsidRPr="006B1675">
        <w:rPr>
          <w:rFonts w:ascii="Arial Narrow" w:hAnsi="Arial Narrow"/>
          <w:sz w:val="22"/>
          <w:szCs w:val="22"/>
          <w:lang w:val="es-MX"/>
        </w:rPr>
        <w:t>del 202</w:t>
      </w:r>
      <w:r w:rsidR="004C2B7A">
        <w:rPr>
          <w:rFonts w:ascii="Arial Narrow" w:hAnsi="Arial Narrow"/>
          <w:sz w:val="22"/>
          <w:szCs w:val="22"/>
          <w:lang w:val="es-MX"/>
        </w:rPr>
        <w:t>1</w:t>
      </w:r>
      <w:r w:rsid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4F4F53">
        <w:rPr>
          <w:rFonts w:ascii="Arial Narrow" w:hAnsi="Arial Narrow"/>
          <w:b/>
          <w:sz w:val="22"/>
          <w:szCs w:val="22"/>
          <w:u w:val="single"/>
          <w:lang w:val="es-MX"/>
        </w:rPr>
        <w:t>321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4C2B7A">
        <w:rPr>
          <w:rFonts w:ascii="Arial Narrow" w:hAnsi="Arial Narrow"/>
          <w:b/>
          <w:sz w:val="22"/>
          <w:szCs w:val="22"/>
          <w:u w:val="single"/>
          <w:lang w:val="es-MX"/>
        </w:rPr>
        <w:t>21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4F4F53">
        <w:rPr>
          <w:rFonts w:ascii="Arial Narrow" w:hAnsi="Arial Narrow"/>
          <w:b/>
          <w:sz w:val="22"/>
          <w:szCs w:val="22"/>
          <w:lang w:val="es-MX"/>
        </w:rPr>
        <w:t>11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4F4F53">
        <w:rPr>
          <w:rFonts w:ascii="Arial Narrow" w:hAnsi="Arial Narrow"/>
          <w:b/>
          <w:sz w:val="22"/>
          <w:szCs w:val="22"/>
          <w:lang w:val="es-MX"/>
        </w:rPr>
        <w:t>Agosto</w:t>
      </w:r>
      <w:r w:rsidR="004C2B7A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="00F05E49"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F05E49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F05E49">
        <w:rPr>
          <w:rFonts w:ascii="Arial Narrow" w:hAnsi="Arial Narrow"/>
          <w:b/>
          <w:sz w:val="22"/>
          <w:szCs w:val="22"/>
          <w:lang w:val="es-MX"/>
        </w:rPr>
        <w:t>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D3EDF" w:rsidRPr="00EC4D84" w:rsidRDefault="001D3EDF" w:rsidP="001D3EDF">
      <w:pPr>
        <w:jc w:val="both"/>
        <w:rPr>
          <w:rFonts w:ascii="Arial Narrow" w:hAnsi="Arial Narrow"/>
          <w:sz w:val="14"/>
          <w:szCs w:val="22"/>
        </w:rPr>
      </w:pPr>
    </w:p>
    <w:p w:rsidR="00404BF3" w:rsidRPr="00D47075" w:rsidRDefault="00404BF3" w:rsidP="00AF0494">
      <w:pPr>
        <w:jc w:val="both"/>
        <w:rPr>
          <w:rFonts w:ascii="Arial Narrow" w:hAnsi="Arial Narrow"/>
          <w:sz w:val="8"/>
          <w:szCs w:val="22"/>
        </w:rPr>
      </w:pPr>
    </w:p>
    <w:p w:rsidR="00C77601" w:rsidRPr="003D50B1" w:rsidRDefault="00C77601" w:rsidP="00C7760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C77601" w:rsidRPr="003D50B1" w:rsidRDefault="00C77601" w:rsidP="00C7760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C77601" w:rsidRPr="0012168D" w:rsidRDefault="00C77601" w:rsidP="00C7760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C77601" w:rsidRPr="0012168D" w:rsidRDefault="00C77601" w:rsidP="00C77601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C77601" w:rsidRDefault="00C77601" w:rsidP="00C77601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C77601" w:rsidRDefault="00C77601" w:rsidP="00C77601">
      <w:pPr>
        <w:jc w:val="both"/>
        <w:rPr>
          <w:rFonts w:ascii="Arial Narrow" w:hAnsi="Arial Narrow" w:cs="Arial"/>
          <w:sz w:val="22"/>
          <w:szCs w:val="22"/>
        </w:rPr>
      </w:pPr>
    </w:p>
    <w:p w:rsidR="00C77601" w:rsidRPr="0012168D" w:rsidRDefault="00C77601" w:rsidP="00C77601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C77601" w:rsidRDefault="00C77601" w:rsidP="00C77601">
      <w:pPr>
        <w:jc w:val="both"/>
        <w:rPr>
          <w:rFonts w:ascii="Arial Narrow" w:hAnsi="Arial Narrow" w:cs="Arial"/>
          <w:sz w:val="22"/>
          <w:szCs w:val="22"/>
        </w:rPr>
      </w:pPr>
    </w:p>
    <w:p w:rsidR="00C77601" w:rsidRPr="003D50B1" w:rsidRDefault="00C77601" w:rsidP="00C7760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C77601" w:rsidRPr="003D50B1" w:rsidRDefault="00C77601" w:rsidP="00C7760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C77601" w:rsidRDefault="00C77601" w:rsidP="00C7760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C77601" w:rsidRDefault="00C77601" w:rsidP="00C77601">
      <w:pPr>
        <w:jc w:val="both"/>
        <w:rPr>
          <w:rFonts w:ascii="Arial Narrow" w:hAnsi="Arial Narrow" w:cs="Arial"/>
          <w:sz w:val="22"/>
          <w:szCs w:val="22"/>
        </w:rPr>
      </w:pPr>
    </w:p>
    <w:p w:rsidR="00C77601" w:rsidRDefault="00C77601" w:rsidP="00C77601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C77601" w:rsidRPr="0064011E" w:rsidRDefault="00C77601" w:rsidP="00C77601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C77601" w:rsidRDefault="00C77601" w:rsidP="00C7760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C77601" w:rsidRDefault="00C77601" w:rsidP="00C77601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C77601" w:rsidRDefault="00C77601" w:rsidP="00C7760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C77601" w:rsidRDefault="00C77601" w:rsidP="00C77601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C77601" w:rsidRDefault="00C77601" w:rsidP="00C77601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C77601" w:rsidRDefault="00C77601" w:rsidP="00C77601">
      <w:pPr>
        <w:jc w:val="both"/>
        <w:rPr>
          <w:rFonts w:ascii="Arial Narrow" w:hAnsi="Arial Narrow" w:cs="Arial"/>
          <w:sz w:val="22"/>
          <w:szCs w:val="22"/>
        </w:rPr>
      </w:pPr>
    </w:p>
    <w:p w:rsidR="00C77601" w:rsidRDefault="00C77601" w:rsidP="00C77601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4F4F53">
        <w:rPr>
          <w:rFonts w:ascii="Arial Narrow" w:hAnsi="Arial Narrow" w:cs="Arial"/>
          <w:sz w:val="22"/>
          <w:szCs w:val="22"/>
        </w:rPr>
        <w:t>11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4F4F53">
        <w:rPr>
          <w:rFonts w:ascii="Arial Narrow" w:hAnsi="Arial Narrow" w:cs="Arial"/>
          <w:sz w:val="22"/>
          <w:szCs w:val="22"/>
        </w:rPr>
        <w:t>Agosto</w:t>
      </w:r>
      <w:r w:rsidR="004C2B7A">
        <w:rPr>
          <w:rFonts w:ascii="Arial Narrow" w:hAnsi="Arial Narrow" w:cs="Arial"/>
          <w:sz w:val="22"/>
          <w:szCs w:val="22"/>
        </w:rPr>
        <w:t xml:space="preserve"> de 2021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C77601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2851A7" w:rsidRPr="00A52DEE" w:rsidRDefault="00404BF3" w:rsidP="00662583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A52DEE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A52DEE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 </w:t>
      </w:r>
      <w:r w:rsidR="009B5C87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45</w:t>
      </w:r>
      <w:r w:rsidR="00866A7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(cuare</w:t>
      </w:r>
      <w:r w:rsidR="00A52DEE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nta</w:t>
      </w:r>
      <w:r w:rsidR="009B5C87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y cinco</w:t>
      </w:r>
      <w:bookmarkStart w:id="0" w:name="_GoBack"/>
      <w:bookmarkEnd w:id="0"/>
      <w:r w:rsidR="00A52DEE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) asignaturas de Maestría </w:t>
      </w:r>
      <w:r w:rsidR="001D3EDF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B57042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Ciencias Económicas,  </w:t>
      </w:r>
      <w:r w:rsidR="001D3EDF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correspondientes al Semestre Académico 202</w:t>
      </w:r>
      <w:r w:rsidR="004C2B7A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1</w:t>
      </w:r>
      <w:r w:rsidR="001D3EDF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866A7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B</w:t>
      </w:r>
      <w:r w:rsidR="002851A7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A52DEE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 cuales serán desarrolladas en la modalidad no presencial, en forma excepcional y transitoria, de acuerdo a las disposiciones establecidas por el gobierno central y los organismos reguladores de la Educación Superior Universitaria; según el siguiente detalle:</w:t>
      </w:r>
    </w:p>
    <w:p w:rsidR="00A52DEE" w:rsidRPr="00A52DEE" w:rsidRDefault="00A52DEE" w:rsidP="00A52DEE">
      <w:pPr>
        <w:pStyle w:val="Prrafodelista"/>
        <w:ind w:left="426"/>
        <w:jc w:val="both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577"/>
        <w:gridCol w:w="1844"/>
        <w:gridCol w:w="915"/>
        <w:gridCol w:w="780"/>
        <w:gridCol w:w="3528"/>
      </w:tblGrid>
      <w:tr w:rsidR="00DD61E9" w:rsidRPr="00866A7E" w:rsidTr="009B5C87">
        <w:trPr>
          <w:trHeight w:val="328"/>
        </w:trPr>
        <w:tc>
          <w:tcPr>
            <w:tcW w:w="576" w:type="dxa"/>
            <w:shd w:val="clear" w:color="auto" w:fill="auto"/>
            <w:noWrap/>
            <w:vAlign w:val="center"/>
          </w:tcPr>
          <w:p w:rsidR="00C96627" w:rsidRPr="00866A7E" w:rsidRDefault="00866A7E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C96627" w:rsidRPr="00866A7E" w:rsidRDefault="00866A7E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PROGRAMA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:rsidR="00C96627" w:rsidRPr="00866A7E" w:rsidRDefault="00866A7E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MAESTRIA EN</w:t>
            </w:r>
          </w:p>
        </w:tc>
        <w:tc>
          <w:tcPr>
            <w:tcW w:w="915" w:type="dxa"/>
            <w:shd w:val="clear" w:color="000000" w:fill="FFFFFF"/>
          </w:tcPr>
          <w:p w:rsidR="00C96627" w:rsidRPr="00866A7E" w:rsidRDefault="00866A7E" w:rsidP="00023F1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CODIGO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C96627" w:rsidRPr="00866A7E" w:rsidRDefault="00866A7E" w:rsidP="00023F1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CICLO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C96627" w:rsidRPr="00866A7E" w:rsidRDefault="00866A7E" w:rsidP="00023F1C">
            <w:pPr>
              <w:jc w:val="center"/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sz w:val="18"/>
                <w:szCs w:val="18"/>
                <w:lang w:val="es-PE" w:eastAsia="es-PE"/>
              </w:rPr>
              <w:t>CURSO</w:t>
            </w:r>
          </w:p>
        </w:tc>
      </w:tr>
      <w:tr w:rsidR="00E06391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E06391" w:rsidRPr="00866A7E" w:rsidRDefault="00866A7E" w:rsidP="00E0639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E06391" w:rsidRPr="00866A7E" w:rsidRDefault="00866A7E" w:rsidP="00E06391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 w:val="restart"/>
            <w:shd w:val="clear" w:color="000000" w:fill="FFFFFF"/>
            <w:noWrap/>
            <w:vAlign w:val="center"/>
          </w:tcPr>
          <w:p w:rsidR="00E06391" w:rsidRPr="00866A7E" w:rsidRDefault="00866A7E" w:rsidP="00E0639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FINANZAS</w:t>
            </w:r>
          </w:p>
        </w:tc>
        <w:tc>
          <w:tcPr>
            <w:tcW w:w="915" w:type="dxa"/>
            <w:shd w:val="clear" w:color="000000" w:fill="FFFFFF"/>
          </w:tcPr>
          <w:p w:rsidR="00E06391" w:rsidRPr="00866A7E" w:rsidRDefault="00866A7E" w:rsidP="00866A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MF- 107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E06391" w:rsidRPr="00866A7E" w:rsidRDefault="00866A7E" w:rsidP="00E0639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E06391" w:rsidRPr="00866A7E" w:rsidRDefault="00866A7E" w:rsidP="00E06391">
            <w:pPr>
              <w:ind w:left="-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FINANZAS I</w:t>
            </w:r>
          </w:p>
        </w:tc>
      </w:tr>
      <w:tr w:rsidR="00E06391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E06391" w:rsidRPr="00866A7E" w:rsidRDefault="00866A7E" w:rsidP="00E0639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E06391" w:rsidRPr="00866A7E" w:rsidRDefault="00866A7E" w:rsidP="00E06391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E06391" w:rsidRPr="00866A7E" w:rsidRDefault="00E06391" w:rsidP="00E06391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E06391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MF- 108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E06391" w:rsidRPr="00866A7E" w:rsidRDefault="00866A7E" w:rsidP="00E0639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E06391" w:rsidRPr="00866A7E" w:rsidRDefault="00866A7E" w:rsidP="00E06391">
            <w:pPr>
              <w:ind w:left="-5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 ANÁLISIS ECONÓMICO Y MERCADOS FINANCIEROS</w:t>
            </w:r>
          </w:p>
        </w:tc>
      </w:tr>
      <w:tr w:rsidR="00E06391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E06391" w:rsidRPr="00866A7E" w:rsidRDefault="00866A7E" w:rsidP="00E0639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E06391" w:rsidRPr="00866A7E" w:rsidRDefault="00866A7E" w:rsidP="00E06391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E06391" w:rsidRPr="00866A7E" w:rsidRDefault="00E06391" w:rsidP="00E06391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E06391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MF-109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E06391" w:rsidRPr="00866A7E" w:rsidRDefault="00866A7E" w:rsidP="00E0639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E06391" w:rsidRPr="00866A7E" w:rsidRDefault="00866A7E" w:rsidP="00E06391">
            <w:pPr>
              <w:ind w:left="-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 CONTABILIDAD FINANCIERA</w:t>
            </w:r>
          </w:p>
        </w:tc>
      </w:tr>
      <w:tr w:rsidR="00E06391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E06391" w:rsidRPr="00866A7E" w:rsidRDefault="00866A7E" w:rsidP="00E0639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04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E06391" w:rsidRPr="00866A7E" w:rsidRDefault="00866A7E" w:rsidP="00E06391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E06391" w:rsidRPr="00866A7E" w:rsidRDefault="00E06391" w:rsidP="00E06391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E06391" w:rsidRPr="00866A7E" w:rsidRDefault="00866A7E" w:rsidP="00866A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MF-110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E06391" w:rsidRPr="00866A7E" w:rsidRDefault="00866A7E" w:rsidP="00E0639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E06391" w:rsidRPr="00866A7E" w:rsidRDefault="00866A7E" w:rsidP="00E06391">
            <w:pPr>
              <w:ind w:left="-5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 MÉTODOS CUANTITATIVOS</w:t>
            </w:r>
          </w:p>
        </w:tc>
      </w:tr>
      <w:tr w:rsidR="00E06391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E06391" w:rsidRPr="00866A7E" w:rsidRDefault="00866A7E" w:rsidP="00E0639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E06391" w:rsidRPr="00866A7E" w:rsidRDefault="00866A7E" w:rsidP="00E06391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E06391" w:rsidRPr="00866A7E" w:rsidRDefault="00E06391" w:rsidP="00E06391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E06391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MF- 111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E06391" w:rsidRPr="00866A7E" w:rsidRDefault="00866A7E" w:rsidP="00E0639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E06391" w:rsidRPr="00866A7E" w:rsidRDefault="00866A7E" w:rsidP="00E06391">
            <w:pPr>
              <w:autoSpaceDE w:val="0"/>
              <w:autoSpaceDN w:val="0"/>
              <w:adjustRightInd w:val="0"/>
              <w:ind w:left="-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 ANÁLISIS FINANCIERO</w:t>
            </w:r>
          </w:p>
        </w:tc>
      </w:tr>
      <w:tr w:rsidR="00866A7E" w:rsidRPr="00866A7E" w:rsidTr="009B5C87">
        <w:trPr>
          <w:trHeight w:val="249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06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MEF208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ECONOMIA MONETARIA Y FINANCIERA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07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MEF209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CONTABILIDAD DE GESTIÓN Y GERENCIA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MEF207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FINANZAS II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09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MEF210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PLANEAMIENTO ESTRATÉGICO FINANCIERO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MEF211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TESIS I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DD113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DD113A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 w:val="restart"/>
            <w:shd w:val="clear" w:color="000000" w:fill="FFFFFF"/>
            <w:noWrap/>
            <w:vAlign w:val="center"/>
          </w:tcPr>
          <w:p w:rsidR="00866A7E" w:rsidRPr="00866A7E" w:rsidRDefault="00866A7E" w:rsidP="00DD113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INVESTIGACION Y DOCENCIA UNIVERSITARIA.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  <w:lang w:val="es-PE"/>
              </w:rPr>
              <w:t>ID 111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DD113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866A7E" w:rsidRPr="00866A7E" w:rsidRDefault="00866A7E" w:rsidP="00DD113A">
            <w:pPr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66A7E">
              <w:rPr>
                <w:rFonts w:ascii="Arial Narrow" w:hAnsi="Arial Narrow"/>
                <w:sz w:val="18"/>
                <w:szCs w:val="18"/>
              </w:rPr>
              <w:t>TEORÍAS CONTEMPORÁNEAS DE LA EDUCACIÓN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4C2B7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4C2B7A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4C2B7A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  <w:lang w:val="es-PE"/>
              </w:rPr>
              <w:t>ID 108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4C2B7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4C2B7A">
            <w:pPr>
              <w:tabs>
                <w:tab w:val="left" w:pos="4678"/>
              </w:tabs>
              <w:spacing w:after="40" w:line="20" w:lineRule="atLeast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/>
                <w:sz w:val="18"/>
                <w:szCs w:val="18"/>
              </w:rPr>
              <w:t xml:space="preserve">EPISTEMOLOGIA DE LA EDUCACION 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4C2B7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4C2B7A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4C2B7A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  <w:lang w:val="es-PE"/>
              </w:rPr>
              <w:t>ID 109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4C2B7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866A7E" w:rsidRPr="00866A7E" w:rsidRDefault="00866A7E" w:rsidP="004C2B7A">
            <w:pPr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66A7E">
              <w:rPr>
                <w:rFonts w:ascii="Arial Narrow" w:eastAsiaTheme="minorEastAsia" w:hAnsi="Arial Narrow"/>
                <w:sz w:val="18"/>
                <w:szCs w:val="18"/>
              </w:rPr>
              <w:t>ESTADÍSTICA APLICADA A LA INVESTIGACIÓN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4C2B7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4C2B7A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4C2B7A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  <w:lang w:val="es-PE"/>
              </w:rPr>
              <w:t>ID 110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4C2B7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866A7E" w:rsidRPr="00866A7E" w:rsidRDefault="00866A7E" w:rsidP="004C2B7A">
            <w:pPr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  <w:lang w:val="es-PE"/>
              </w:rPr>
              <w:t>ESTRATEGIAS DE LA INFORMACIÓN Y   COMUNICACIÓN UNIVERSITARIA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4C2B7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4C2B7A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4C2B7A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  <w:lang w:val="es-PE"/>
              </w:rPr>
              <w:t>ID 107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4C2B7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4C2B7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/>
                <w:sz w:val="18"/>
                <w:szCs w:val="18"/>
              </w:rPr>
              <w:t>METODOLOGIA DE LA INVESTIGACION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MID208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TEORÍA Y APLICACIÓN DE HIPÓTESIS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MID210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TALLER DE INVESTIGACIÓN I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MID207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TECNICAS PARA SELECCIONAR PROBLEMAS DE INVESTIGACIÓN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MID209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EDUCACIÓN Y DESARROLLO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MID211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TECNOLOGIAS DE LA EDUCACIÓN UNIVERSITARIA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bottom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MID309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28" w:type="dxa"/>
            <w:shd w:val="clear" w:color="000000" w:fill="FFFFFF"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 xml:space="preserve">INFORMÁTICA APLICADA A LA DOCENCIA E INVESTIGACIÓN 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bottom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MID310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28" w:type="dxa"/>
            <w:shd w:val="clear" w:color="000000" w:fill="FFFFFF"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DIDÁCTICA UNIVERSITARIA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bottom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MID312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28" w:type="dxa"/>
            <w:shd w:val="clear" w:color="000000" w:fill="FFFFFF"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TEORÍA DE LA UNIVERSIDAD Y PROBLEMAS UNIVERSITARIOS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bottom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MID311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28" w:type="dxa"/>
            <w:shd w:val="clear" w:color="000000" w:fill="FFFFFF"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TALLER DE INVESTIGACIÓN II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  <w:vAlign w:val="bottom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MID313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28" w:type="dxa"/>
            <w:shd w:val="clear" w:color="000000" w:fill="FFFFFF"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PLANIFICACIÓN Y GESTIÓN UNIVERSITARIA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 w:val="restart"/>
            <w:shd w:val="clear" w:color="000000" w:fill="FFFFFF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PROYECTOS DE INVERSION</w:t>
            </w: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101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ind w:left="-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ANÁLISIS ECONÓMICO PARA PROYECTOS DE INVERSIÓN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102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ind w:left="-5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 ANÁLISIS FINANCIERO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103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ind w:left="-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 MÉTODOS DE PROYECCIÓN E INVESTIGACIÓN DE MERCADOS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104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ind w:left="-5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 ECONOMÍA DE EMPRESA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105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autoSpaceDE w:val="0"/>
              <w:autoSpaceDN w:val="0"/>
              <w:adjustRightInd w:val="0"/>
              <w:ind w:left="-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IDENTIFICACIÓN Y FORMULACIÓN DE PROYECTOS DE</w:t>
            </w:r>
          </w:p>
          <w:p w:rsidR="00866A7E" w:rsidRPr="00866A7E" w:rsidRDefault="00866A7E" w:rsidP="00866A7E">
            <w:pPr>
              <w:ind w:left="-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INVERSIÓN PUBLICA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106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IDENTIFICACIÓN Y FORMULACIÓN DE PROYECTOS DE</w:t>
            </w:r>
          </w:p>
          <w:p w:rsidR="00866A7E" w:rsidRPr="00866A7E" w:rsidRDefault="00866A7E" w:rsidP="00866A7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INVERSIÓN PRIVADA.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107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 EVALUACIÓN SOCIAL DE PROYECTOS DE INVERSIÓN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108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 EVALUACIÓN ECONÓMICA DE  PROYECTOS DE</w:t>
            </w:r>
          </w:p>
          <w:p w:rsidR="00866A7E" w:rsidRPr="00866A7E" w:rsidRDefault="00866A7E" w:rsidP="00866A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INVERSIÓN PUBLICA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109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 EVALUACIÓN ECONÓMICA  DE PROYECTOS DE INVERSIÓN PRIVADA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35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110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/>
                <w:sz w:val="18"/>
                <w:szCs w:val="18"/>
              </w:rPr>
              <w:t>TESIS I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lastRenderedPageBreak/>
              <w:t>36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111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PLANEAMIENTO ESTRATÉGICO </w:t>
            </w:r>
          </w:p>
          <w:p w:rsidR="00866A7E" w:rsidRPr="00866A7E" w:rsidRDefault="00866A7E" w:rsidP="00866A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37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112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 xml:space="preserve">GESTIÓN DE PROYECTOS DE INVERSIÓN  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38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113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TÓPICOS DE PROYECTOS DE INVERSIÓN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114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EVALUACIÓN ECONÓMICA DEL IMPACTO AMBIENTAL</w:t>
            </w:r>
          </w:p>
        </w:tc>
      </w:tr>
      <w:tr w:rsidR="00866A7E" w:rsidRPr="00866A7E" w:rsidTr="009B5C8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40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866A7E" w:rsidRPr="00866A7E" w:rsidRDefault="00866A7E" w:rsidP="00866A7E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15" w:type="dxa"/>
            <w:shd w:val="clear" w:color="000000" w:fill="FFFFFF"/>
          </w:tcPr>
          <w:p w:rsidR="00866A7E" w:rsidRPr="00866A7E" w:rsidRDefault="00866A7E" w:rsidP="00866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MPI 115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66A7E" w:rsidRPr="00866A7E" w:rsidRDefault="00866A7E" w:rsidP="00866A7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28" w:type="dxa"/>
            <w:shd w:val="clear" w:color="000000" w:fill="FFFFFF"/>
          </w:tcPr>
          <w:p w:rsidR="00866A7E" w:rsidRPr="00866A7E" w:rsidRDefault="00866A7E" w:rsidP="00866A7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66A7E">
              <w:rPr>
                <w:rFonts w:ascii="Arial Narrow" w:hAnsi="Arial Narrow" w:cs="Arial"/>
                <w:sz w:val="18"/>
                <w:szCs w:val="18"/>
              </w:rPr>
              <w:t>TESIS II</w:t>
            </w:r>
          </w:p>
        </w:tc>
      </w:tr>
      <w:tr w:rsidR="009B5C87" w:rsidRPr="00866A7E" w:rsidTr="00C6019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9B5C87" w:rsidRPr="00866A7E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41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B5C87" w:rsidRPr="00866A7E" w:rsidRDefault="009B5C87" w:rsidP="009B5C8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 w:val="restart"/>
            <w:shd w:val="clear" w:color="000000" w:fill="FFFFFF"/>
            <w:noWrap/>
            <w:vAlign w:val="bottom"/>
          </w:tcPr>
          <w:p w:rsidR="009B5C87" w:rsidRPr="009B5C87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9B5C87">
              <w:rPr>
                <w:rFonts w:ascii="Arial Narrow" w:hAnsi="Arial Narrow" w:cs="Arial"/>
                <w:sz w:val="18"/>
                <w:szCs w:val="28"/>
              </w:rPr>
              <w:t>MAESTRÍA EN COMERCIO Y NEGOCIACIONES INTERNACIONALES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  <w:lang w:eastAsia="es-PE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6"/>
              </w:rPr>
              <w:t>CI101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rPr>
                <w:rFonts w:ascii="Arial Narrow" w:hAnsi="Arial Narrow"/>
                <w:color w:val="000000"/>
                <w:sz w:val="18"/>
                <w:szCs w:val="16"/>
                <w:lang w:eastAsia="es-PE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6"/>
              </w:rPr>
              <w:t>ANÁLISIS ECONÓMICO *</w:t>
            </w:r>
          </w:p>
        </w:tc>
      </w:tr>
      <w:tr w:rsidR="009B5C87" w:rsidRPr="00866A7E" w:rsidTr="00C6019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9B5C87" w:rsidRPr="00866A7E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42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B5C87" w:rsidRPr="00866A7E" w:rsidRDefault="009B5C87" w:rsidP="009B5C8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9B5C87" w:rsidRPr="009B5C87" w:rsidRDefault="009B5C87" w:rsidP="009B5C87">
            <w:pPr>
              <w:rPr>
                <w:rFonts w:ascii="Arial Narrow" w:hAnsi="Arial Narrow" w:cs="Arial"/>
                <w:sz w:val="22"/>
                <w:szCs w:val="28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6"/>
              </w:rPr>
              <w:t>CI 103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6"/>
              </w:rPr>
              <w:t>INFORMÁTICA PARA LOS NEGOCIOS INTERNACIONALES</w:t>
            </w:r>
          </w:p>
        </w:tc>
      </w:tr>
      <w:tr w:rsidR="009B5C87" w:rsidRPr="00866A7E" w:rsidTr="00C6019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9B5C87" w:rsidRPr="00866A7E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43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B5C87" w:rsidRPr="00866A7E" w:rsidRDefault="009B5C87" w:rsidP="009B5C8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9B5C87" w:rsidRPr="009B5C87" w:rsidRDefault="009B5C87" w:rsidP="009B5C87">
            <w:pPr>
              <w:rPr>
                <w:rFonts w:ascii="Arial Narrow" w:hAnsi="Arial Narrow" w:cs="Arial"/>
                <w:sz w:val="22"/>
                <w:szCs w:val="28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6"/>
              </w:rPr>
              <w:t>CI 105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6"/>
              </w:rPr>
              <w:t>FUNDAMENTOS DE FINANZAS</w:t>
            </w:r>
          </w:p>
        </w:tc>
      </w:tr>
      <w:tr w:rsidR="009B5C87" w:rsidRPr="00866A7E" w:rsidTr="00C6019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9B5C87" w:rsidRPr="00866A7E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44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B5C87" w:rsidRPr="00866A7E" w:rsidRDefault="009B5C87" w:rsidP="009B5C8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9B5C87" w:rsidRPr="009B5C87" w:rsidRDefault="009B5C87" w:rsidP="009B5C87">
            <w:pPr>
              <w:rPr>
                <w:rFonts w:ascii="Arial Narrow" w:hAnsi="Arial Narrow" w:cs="Arial"/>
                <w:sz w:val="22"/>
                <w:szCs w:val="28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6"/>
              </w:rPr>
              <w:t>CI 107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6"/>
              </w:rPr>
              <w:t>ESTADÍSTICA PARA LA INVESTIGACIÓN Y LOS NEGOCIOS</w:t>
            </w:r>
          </w:p>
        </w:tc>
      </w:tr>
      <w:tr w:rsidR="009B5C87" w:rsidRPr="00866A7E" w:rsidTr="00C60197">
        <w:trPr>
          <w:trHeight w:val="120"/>
        </w:trPr>
        <w:tc>
          <w:tcPr>
            <w:tcW w:w="576" w:type="dxa"/>
            <w:shd w:val="clear" w:color="auto" w:fill="auto"/>
            <w:noWrap/>
            <w:vAlign w:val="center"/>
          </w:tcPr>
          <w:p w:rsidR="009B5C87" w:rsidRPr="00866A7E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45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B5C87" w:rsidRPr="00866A7E" w:rsidRDefault="009B5C87" w:rsidP="009B5C8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66A7E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844" w:type="dxa"/>
            <w:vMerge/>
            <w:shd w:val="clear" w:color="000000" w:fill="FFFFFF"/>
            <w:noWrap/>
            <w:vAlign w:val="bottom"/>
          </w:tcPr>
          <w:p w:rsidR="009B5C87" w:rsidRPr="009B5C87" w:rsidRDefault="009B5C87" w:rsidP="009B5C87">
            <w:pPr>
              <w:rPr>
                <w:rFonts w:ascii="Arial Narrow" w:hAnsi="Arial Narrow" w:cs="Arial"/>
                <w:sz w:val="22"/>
                <w:szCs w:val="28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6"/>
              </w:rPr>
              <w:t>CI 109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28" w:type="dxa"/>
            <w:shd w:val="clear" w:color="000000" w:fill="FFFFFF"/>
            <w:vAlign w:val="center"/>
          </w:tcPr>
          <w:p w:rsidR="009B5C87" w:rsidRPr="009B5C87" w:rsidRDefault="009B5C87" w:rsidP="009B5C87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9B5C87">
              <w:rPr>
                <w:rFonts w:ascii="Arial Narrow" w:hAnsi="Arial Narrow"/>
                <w:color w:val="000000"/>
                <w:sz w:val="18"/>
                <w:szCs w:val="16"/>
              </w:rPr>
              <w:t>LEGISLACIÓN DE COMERCIO INTERNACIONAL</w:t>
            </w:r>
          </w:p>
        </w:tc>
      </w:tr>
    </w:tbl>
    <w:p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507DFE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4418D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418D9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>TRANSCRIBIR,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la pr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esente Resolución a</w:t>
      </w:r>
      <w:r w:rsidR="00E44E31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l VRA,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Unidad de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Posgrado de la UNAC, Decanatos e interesados para conocimiento y fines consiguientes.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Regístrese, comuníquese y cúmplase.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ARCELIA OLGA ROJAS SALAZAR.- Directora de la Escuela de Posgrado.- Sello.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MERCEDES LULILEA FERRER MEJÍA.- Secretaria Académica.- Sello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8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Lo que transcribo a usted para los fines pertinentes.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8C5680" w:rsidRPr="008C12A8" w:rsidRDefault="00423363" w:rsidP="00AF0494">
      <w:pPr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139C433A" wp14:editId="6CCBB5ED">
            <wp:extent cx="5590540" cy="942340"/>
            <wp:effectExtent l="0" t="0" r="0" b="0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680" w:rsidRPr="008C12A8" w:rsidSect="0055308D">
      <w:headerReference w:type="default" r:id="rId9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54" w:rsidRDefault="001A7F54" w:rsidP="003A5786">
      <w:r>
        <w:separator/>
      </w:r>
    </w:p>
  </w:endnote>
  <w:endnote w:type="continuationSeparator" w:id="0">
    <w:p w:rsidR="001A7F54" w:rsidRDefault="001A7F54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54" w:rsidRDefault="001A7F54" w:rsidP="003A5786">
      <w:r>
        <w:separator/>
      </w:r>
    </w:p>
  </w:footnote>
  <w:footnote w:type="continuationSeparator" w:id="0">
    <w:p w:rsidR="001A7F54" w:rsidRDefault="001A7F54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507DFE" w:rsidRDefault="00507DF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23F1C"/>
    <w:rsid w:val="0003456C"/>
    <w:rsid w:val="000B1489"/>
    <w:rsid w:val="000C5EB5"/>
    <w:rsid w:val="000D0045"/>
    <w:rsid w:val="000F4FED"/>
    <w:rsid w:val="001101EA"/>
    <w:rsid w:val="001240DA"/>
    <w:rsid w:val="00125112"/>
    <w:rsid w:val="00126BBB"/>
    <w:rsid w:val="00131315"/>
    <w:rsid w:val="0013676C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A7F54"/>
    <w:rsid w:val="001B408B"/>
    <w:rsid w:val="001D3EDF"/>
    <w:rsid w:val="0020045C"/>
    <w:rsid w:val="002016B0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D777A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D2B42"/>
    <w:rsid w:val="003E0F14"/>
    <w:rsid w:val="003E69F6"/>
    <w:rsid w:val="00404BF3"/>
    <w:rsid w:val="00404DA0"/>
    <w:rsid w:val="00406CA0"/>
    <w:rsid w:val="004166BF"/>
    <w:rsid w:val="00423363"/>
    <w:rsid w:val="00427F81"/>
    <w:rsid w:val="004418D9"/>
    <w:rsid w:val="00452F80"/>
    <w:rsid w:val="004557AA"/>
    <w:rsid w:val="00472094"/>
    <w:rsid w:val="00474F1D"/>
    <w:rsid w:val="004860F9"/>
    <w:rsid w:val="00494E15"/>
    <w:rsid w:val="004A2322"/>
    <w:rsid w:val="004A236F"/>
    <w:rsid w:val="004A6949"/>
    <w:rsid w:val="004C0128"/>
    <w:rsid w:val="004C05CD"/>
    <w:rsid w:val="004C2B7A"/>
    <w:rsid w:val="004C3E61"/>
    <w:rsid w:val="004D15CA"/>
    <w:rsid w:val="004E127B"/>
    <w:rsid w:val="004E30B3"/>
    <w:rsid w:val="004E467B"/>
    <w:rsid w:val="004F4F53"/>
    <w:rsid w:val="00501CC9"/>
    <w:rsid w:val="0050592C"/>
    <w:rsid w:val="00507DFE"/>
    <w:rsid w:val="00513DBA"/>
    <w:rsid w:val="005230C5"/>
    <w:rsid w:val="00535528"/>
    <w:rsid w:val="005461FC"/>
    <w:rsid w:val="0055308D"/>
    <w:rsid w:val="0056017A"/>
    <w:rsid w:val="00565336"/>
    <w:rsid w:val="0057026A"/>
    <w:rsid w:val="00576928"/>
    <w:rsid w:val="005C03CE"/>
    <w:rsid w:val="005D0E71"/>
    <w:rsid w:val="005D195C"/>
    <w:rsid w:val="005F6EE5"/>
    <w:rsid w:val="0060044F"/>
    <w:rsid w:val="0060413C"/>
    <w:rsid w:val="006063CF"/>
    <w:rsid w:val="006221BC"/>
    <w:rsid w:val="00623D08"/>
    <w:rsid w:val="006304EF"/>
    <w:rsid w:val="00630DB6"/>
    <w:rsid w:val="00637B9D"/>
    <w:rsid w:val="006556EB"/>
    <w:rsid w:val="006A7CBF"/>
    <w:rsid w:val="006B1675"/>
    <w:rsid w:val="006C4C10"/>
    <w:rsid w:val="007044C0"/>
    <w:rsid w:val="00720249"/>
    <w:rsid w:val="00733468"/>
    <w:rsid w:val="00740C85"/>
    <w:rsid w:val="00743D56"/>
    <w:rsid w:val="00744E6B"/>
    <w:rsid w:val="00746D0A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66A7E"/>
    <w:rsid w:val="0087041C"/>
    <w:rsid w:val="00877DE2"/>
    <w:rsid w:val="00880775"/>
    <w:rsid w:val="0088779C"/>
    <w:rsid w:val="00892AF9"/>
    <w:rsid w:val="00893B3D"/>
    <w:rsid w:val="008A573B"/>
    <w:rsid w:val="008C12A8"/>
    <w:rsid w:val="008C33E4"/>
    <w:rsid w:val="008C5680"/>
    <w:rsid w:val="008E3053"/>
    <w:rsid w:val="009028F5"/>
    <w:rsid w:val="00904872"/>
    <w:rsid w:val="00915478"/>
    <w:rsid w:val="009219B4"/>
    <w:rsid w:val="0092289E"/>
    <w:rsid w:val="00930960"/>
    <w:rsid w:val="00936D93"/>
    <w:rsid w:val="00937EF8"/>
    <w:rsid w:val="00943130"/>
    <w:rsid w:val="0094641F"/>
    <w:rsid w:val="00963585"/>
    <w:rsid w:val="009B5C87"/>
    <w:rsid w:val="009E0C80"/>
    <w:rsid w:val="009E7F88"/>
    <w:rsid w:val="009F1E4B"/>
    <w:rsid w:val="00A042E5"/>
    <w:rsid w:val="00A40EE3"/>
    <w:rsid w:val="00A41B94"/>
    <w:rsid w:val="00A4453B"/>
    <w:rsid w:val="00A4741A"/>
    <w:rsid w:val="00A52DEE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3F9A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57042"/>
    <w:rsid w:val="00B621A7"/>
    <w:rsid w:val="00B814EA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081"/>
    <w:rsid w:val="00BF2C63"/>
    <w:rsid w:val="00C01414"/>
    <w:rsid w:val="00C10794"/>
    <w:rsid w:val="00C50BE3"/>
    <w:rsid w:val="00C77601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069B"/>
    <w:rsid w:val="00D1104B"/>
    <w:rsid w:val="00D21590"/>
    <w:rsid w:val="00D22355"/>
    <w:rsid w:val="00D47075"/>
    <w:rsid w:val="00DA166D"/>
    <w:rsid w:val="00DA4264"/>
    <w:rsid w:val="00DA48D4"/>
    <w:rsid w:val="00DC4A29"/>
    <w:rsid w:val="00DD113A"/>
    <w:rsid w:val="00DD61E9"/>
    <w:rsid w:val="00DE3684"/>
    <w:rsid w:val="00E00391"/>
    <w:rsid w:val="00E06391"/>
    <w:rsid w:val="00E1756B"/>
    <w:rsid w:val="00E26CE1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4021C"/>
    <w:rsid w:val="00F5363E"/>
    <w:rsid w:val="00F63C88"/>
    <w:rsid w:val="00F645A6"/>
    <w:rsid w:val="00F87A5B"/>
    <w:rsid w:val="00FA5F00"/>
    <w:rsid w:val="00FB06D1"/>
    <w:rsid w:val="00FB1D53"/>
    <w:rsid w:val="00FB1FA3"/>
    <w:rsid w:val="00FB431B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9F27-0E21-4557-B1F8-CDA358C1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4</cp:revision>
  <cp:lastPrinted>2020-01-31T20:46:00Z</cp:lastPrinted>
  <dcterms:created xsi:type="dcterms:W3CDTF">2021-10-14T18:55:00Z</dcterms:created>
  <dcterms:modified xsi:type="dcterms:W3CDTF">2021-10-14T20:24:00Z</dcterms:modified>
</cp:coreProperties>
</file>